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Б-029-24-1-ДК,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029 Інформаційна, бібліотечна та архівна справа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Волинець Захар Юрійович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85.140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Недашківська Ірина Олегівна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83.880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Малярчик Ольга Петрівна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80.460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Салимова Ілона Віталіївна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71.460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Панітовська Софія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70.920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Іванова Анастасія Андріївна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68.220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Кусайко Тетяна Олександрівна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Б-029-24-1-ДК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Воробей Олександра Володимирівна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